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eastAsia="Times New Roman" w:hAnsi="Times New Roman"/>
          <w:color w:val="0e101a"/>
          <w:sz w:val="24"/>
          <w:szCs w:val="24"/>
          <w:lang w:eastAsia="en-GB"/>
        </w:rPr>
      </w:pPr>
      <w:bookmarkStart w:id="0" w:name="_GoBack"/>
      <w:bookmarkEnd w:id="0"/>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jc w:val="center"/>
        <w:rPr>
          <w:rFonts w:ascii="Times New Roman" w:cs="Times New Roman" w:eastAsia="Times New Roman" w:hAnsi="Times New Roman"/>
          <w:color w:val="0e101a"/>
          <w:sz w:val="24"/>
          <w:szCs w:val="24"/>
          <w:lang w:eastAsia="en-GB"/>
        </w:rPr>
      </w:pPr>
    </w:p>
    <w:p>
      <w:pPr>
        <w:pStyle w:val="style0"/>
        <w:spacing w:after="0" w:lineRule="auto" w:line="480"/>
        <w:jc w:val="center"/>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Negligent Employees Hiring and Retention</w:t>
      </w:r>
    </w:p>
    <w:p>
      <w:pPr>
        <w:pStyle w:val="style0"/>
        <w:spacing w:after="0" w:lineRule="auto" w:line="480"/>
        <w:jc w:val="center"/>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Student’s Name</w:t>
      </w:r>
    </w:p>
    <w:p>
      <w:pPr>
        <w:pStyle w:val="style0"/>
        <w:spacing w:after="0" w:lineRule="auto" w:line="480"/>
        <w:jc w:val="center"/>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University Department</w:t>
      </w:r>
    </w:p>
    <w:p>
      <w:pPr>
        <w:pStyle w:val="style0"/>
        <w:spacing w:after="0" w:lineRule="auto" w:line="480"/>
        <w:jc w:val="center"/>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Course Name/Number</w:t>
      </w:r>
    </w:p>
    <w:p>
      <w:pPr>
        <w:pStyle w:val="style0"/>
        <w:spacing w:after="0" w:lineRule="auto" w:line="480"/>
        <w:jc w:val="center"/>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Professor’s Name</w:t>
      </w:r>
    </w:p>
    <w:p>
      <w:pPr>
        <w:pStyle w:val="style0"/>
        <w:spacing w:after="0" w:lineRule="auto" w:line="480"/>
        <w:jc w:val="center"/>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Date</w:t>
      </w: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jc w:val="center"/>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Negligent Employees Hiring and Retention</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The health care sector is one of the areas where the employer’s liability for employee’s acts applies extensively. In most cases, employers will be held accountable and liable for the conduct of their employees even when the employer has not played any physical role in the damage caused. Understanding why an employer’s liability for an employee’s act applies is important in effective human resource management in the health care organization. This essay argues that civil wrong of negligence can have serious negative repercussions in the workplace. As such, administrators and policymakers need to take necessary steps to prevent negligent hiring and retention.</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 xml:space="preserve">Negligent hiring refers to the legal claim that is made against the employer in the organization. This claim can be made by either an employee or a customer or any other stakeholder of the organization. When an employee is injured and there is a series of similar events or incidents in the organization, an employer may be blamed because he or she should have known the history before hiring an employee. As such, it is important for employers to find out as much as they can about the backgrounds of their employees before they can take the action of hiring them. As </w:t>
      </w:r>
      <w:r>
        <w:rPr>
          <w:rFonts w:ascii="Times New Roman" w:cs="Times New Roman" w:eastAsia="Times New Roman" w:hAnsi="Times New Roman"/>
          <w:color w:val="0e101a"/>
          <w:sz w:val="24"/>
          <w:szCs w:val="24"/>
          <w:lang w:eastAsia="en-GB"/>
        </w:rPr>
        <w:t>Cavico</w:t>
      </w:r>
      <w:r>
        <w:rPr>
          <w:rFonts w:ascii="Times New Roman" w:cs="Times New Roman" w:eastAsia="Times New Roman" w:hAnsi="Times New Roman"/>
          <w:color w:val="0e101a"/>
          <w:sz w:val="24"/>
          <w:szCs w:val="24"/>
          <w:lang w:eastAsia="en-GB"/>
        </w:rPr>
        <w:t xml:space="preserve"> et al. (2016) explain</w:t>
      </w:r>
      <w:r>
        <w:rPr>
          <w:rFonts w:ascii="Times New Roman" w:cs="Times New Roman" w:eastAsia="Times New Roman" w:hAnsi="Times New Roman"/>
          <w:color w:val="0e101a"/>
          <w:sz w:val="24"/>
          <w:szCs w:val="24"/>
          <w:lang w:eastAsia="en-GB"/>
        </w:rPr>
        <w:t>,</w:t>
      </w:r>
      <w:r>
        <w:rPr>
          <w:rFonts w:ascii="Times New Roman" w:cs="Times New Roman" w:eastAsia="Times New Roman" w:hAnsi="Times New Roman"/>
          <w:color w:val="0e101a"/>
          <w:sz w:val="24"/>
          <w:szCs w:val="24"/>
          <w:lang w:eastAsia="en-GB"/>
        </w:rPr>
        <w:t xml:space="preserve"> negligence in employment is a form of conduct, which may rise to liability under the common law of civil wrong. An example of a negligent hiring situation where an organization hires an employee who was convicted for aggravated assault before joining the organization and he ends up assaulting a fellow colleague at the workplace. Since the employee who assaulted his fellow employee has a contract with the organization, the firm is considered liable for his actions because the administrators or the hiring team failed to conduct necessary background checks on the individual before hiring him.</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 xml:space="preserve">Negligent retention, on the other hand, refers to the act of retaining an employee whose bad or damaging reputation or </w:t>
      </w:r>
      <w:r>
        <w:rPr>
          <w:rFonts w:ascii="Times New Roman" w:cs="Times New Roman" w:eastAsia="Times New Roman" w:hAnsi="Times New Roman"/>
          <w:color w:val="0e101a"/>
          <w:sz w:val="24"/>
          <w:szCs w:val="24"/>
          <w:lang w:eastAsia="en-GB"/>
        </w:rPr>
        <w:t>behavior</w:t>
      </w:r>
      <w:r>
        <w:rPr>
          <w:rFonts w:ascii="Times New Roman" w:cs="Times New Roman" w:eastAsia="Times New Roman" w:hAnsi="Times New Roman"/>
          <w:color w:val="0e101a"/>
          <w:sz w:val="24"/>
          <w:szCs w:val="24"/>
          <w:lang w:eastAsia="en-GB"/>
        </w:rPr>
        <w:t xml:space="preserve"> was known to the organization. According to Gaul (2011), negligent retention is equally damaging like negligent hiring because they both involve putting the organization, customers, and other employees at risk. The difference between the two employment claims is that in negligent hiring, the employer may not have had the information about the damaging </w:t>
      </w:r>
      <w:r>
        <w:rPr>
          <w:rFonts w:ascii="Times New Roman" w:cs="Times New Roman" w:eastAsia="Times New Roman" w:hAnsi="Times New Roman"/>
          <w:color w:val="0e101a"/>
          <w:sz w:val="24"/>
          <w:szCs w:val="24"/>
          <w:lang w:eastAsia="en-GB"/>
        </w:rPr>
        <w:t>behavior</w:t>
      </w:r>
      <w:r>
        <w:rPr>
          <w:rFonts w:ascii="Times New Roman" w:cs="Times New Roman" w:eastAsia="Times New Roman" w:hAnsi="Times New Roman"/>
          <w:color w:val="0e101a"/>
          <w:sz w:val="24"/>
          <w:szCs w:val="24"/>
          <w:lang w:eastAsia="en-GB"/>
        </w:rPr>
        <w:t xml:space="preserve"> or conduct while in negligent retention, the employer is blamed for having the information but failed to act on it to protect other people in the organization. Despite the differences, the two employment claims are often alleged in conjunction with each other because they are both rooted in common law and associated with tort body laws.</w:t>
      </w:r>
    </w:p>
    <w:p>
      <w:pPr>
        <w:pStyle w:val="style0"/>
        <w:spacing w:after="0" w:lineRule="auto" w:line="480"/>
        <w:jc w:val="center"/>
        <w:rPr>
          <w:rFonts w:ascii="Times New Roman" w:cs="Times New Roman" w:eastAsia="Times New Roman" w:hAnsi="Times New Roman"/>
          <w:b/>
          <w:color w:val="0e101a"/>
          <w:sz w:val="24"/>
          <w:szCs w:val="24"/>
          <w:lang w:eastAsia="en-GB"/>
        </w:rPr>
      </w:pPr>
      <w:r>
        <w:rPr>
          <w:rFonts w:ascii="Times New Roman" w:cs="Times New Roman" w:eastAsia="Times New Roman" w:hAnsi="Times New Roman"/>
          <w:b/>
          <w:color w:val="0e101a"/>
          <w:sz w:val="24"/>
          <w:szCs w:val="24"/>
          <w:lang w:eastAsia="en-GB"/>
        </w:rPr>
        <w:t>Elements of Negligent Hiring and Retention</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Elements or components of negligent hiring and retention include the existence of a duty, breach of duty, causation-in-fact, and damage resulting from the conduct.</w:t>
      </w:r>
    </w:p>
    <w:p>
      <w:pPr>
        <w:pStyle w:val="style179"/>
        <w:numPr>
          <w:ilvl w:val="0"/>
          <w:numId w:val="1"/>
        </w:numPr>
        <w:spacing w:after="0" w:lineRule="auto" w:line="480"/>
        <w:rPr>
          <w:rFonts w:ascii="Times New Roman" w:cs="Times New Roman" w:eastAsia="Times New Roman" w:hAnsi="Times New Roman"/>
          <w:b/>
          <w:color w:val="0e101a"/>
          <w:sz w:val="24"/>
          <w:szCs w:val="24"/>
          <w:lang w:eastAsia="en-GB"/>
        </w:rPr>
      </w:pPr>
      <w:r>
        <w:rPr>
          <w:rFonts w:ascii="Times New Roman" w:cs="Times New Roman" w:eastAsia="Times New Roman" w:hAnsi="Times New Roman"/>
          <w:b/>
          <w:color w:val="0e101a"/>
          <w:sz w:val="24"/>
          <w:szCs w:val="24"/>
          <w:lang w:eastAsia="en-GB"/>
        </w:rPr>
        <w:t>Duty</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 xml:space="preserve">According to </w:t>
      </w:r>
      <w:r>
        <w:rPr>
          <w:rFonts w:ascii="Times New Roman" w:cs="Times New Roman" w:eastAsia="Times New Roman" w:hAnsi="Times New Roman"/>
          <w:color w:val="0e101a"/>
          <w:sz w:val="24"/>
          <w:szCs w:val="24"/>
          <w:lang w:eastAsia="en-GB"/>
        </w:rPr>
        <w:t>Cavico</w:t>
      </w:r>
      <w:r>
        <w:rPr>
          <w:rFonts w:ascii="Times New Roman" w:cs="Times New Roman" w:eastAsia="Times New Roman" w:hAnsi="Times New Roman"/>
          <w:color w:val="0e101a"/>
          <w:sz w:val="24"/>
          <w:szCs w:val="24"/>
          <w:lang w:eastAsia="en-GB"/>
        </w:rPr>
        <w:t xml:space="preserve"> et al. (2016), the duty to determine and relate one’s conduct to the conduct of a reasonable person is considered to be negligent by the negligence laws. These laws are based on the assumption that employers should hire or retain their employees that conform to the uniform standard of conduct which is accepted by the community where the business operates or the society at large. According to </w:t>
      </w:r>
      <w:r>
        <w:rPr>
          <w:rFonts w:ascii="Times New Roman" w:cs="Times New Roman" w:eastAsia="Times New Roman" w:hAnsi="Times New Roman"/>
          <w:color w:val="0e101a"/>
          <w:sz w:val="24"/>
          <w:szCs w:val="24"/>
          <w:lang w:eastAsia="en-GB"/>
        </w:rPr>
        <w:t>Cavico</w:t>
      </w:r>
      <w:r>
        <w:rPr>
          <w:rFonts w:ascii="Times New Roman" w:cs="Times New Roman" w:eastAsia="Times New Roman" w:hAnsi="Times New Roman"/>
          <w:color w:val="0e101a"/>
          <w:sz w:val="24"/>
          <w:szCs w:val="24"/>
          <w:lang w:eastAsia="en-GB"/>
        </w:rPr>
        <w:t xml:space="preserve"> et al. (2016), these standards are expected to be objective and external but not based on individual judgment of what is good or bad. In the context of employment, employers have a duty to hire and retain competent employees. Employees are further obligated to take care of their employees to avoid injuries to anyone who works in the organization or those who seek services in the organization. In the health care </w:t>
      </w:r>
      <w:r>
        <w:rPr>
          <w:rFonts w:ascii="Times New Roman" w:cs="Times New Roman" w:eastAsia="Times New Roman" w:hAnsi="Times New Roman"/>
          <w:color w:val="0e101a"/>
          <w:sz w:val="24"/>
          <w:szCs w:val="24"/>
          <w:lang w:eastAsia="en-GB"/>
        </w:rPr>
        <w:t>setting, employers must establish a sense of duty that prevents risk exposure of both employees and patients.</w:t>
      </w:r>
    </w:p>
    <w:p>
      <w:pPr>
        <w:pStyle w:val="style179"/>
        <w:numPr>
          <w:ilvl w:val="0"/>
          <w:numId w:val="1"/>
        </w:numPr>
        <w:spacing w:after="0" w:lineRule="auto" w:line="480"/>
        <w:rPr>
          <w:rFonts w:ascii="Times New Roman" w:cs="Times New Roman" w:eastAsia="Times New Roman" w:hAnsi="Times New Roman"/>
          <w:b/>
          <w:color w:val="0e101a"/>
          <w:sz w:val="24"/>
          <w:szCs w:val="24"/>
          <w:lang w:eastAsia="en-GB"/>
        </w:rPr>
      </w:pPr>
      <w:r>
        <w:rPr>
          <w:rFonts w:ascii="Times New Roman" w:cs="Times New Roman" w:eastAsia="Times New Roman" w:hAnsi="Times New Roman"/>
          <w:b/>
          <w:color w:val="0e101a"/>
          <w:sz w:val="24"/>
          <w:szCs w:val="24"/>
          <w:lang w:eastAsia="en-GB"/>
        </w:rPr>
        <w:t>Breach of Duty</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A breach of duty is another element of negligent hiring and retention where the employer is proven to have breached or contravened their duty (</w:t>
      </w:r>
      <w:r>
        <w:rPr>
          <w:rFonts w:ascii="Times New Roman" w:cs="Times New Roman" w:eastAsia="Times New Roman" w:hAnsi="Times New Roman"/>
          <w:color w:val="0e101a"/>
          <w:sz w:val="24"/>
          <w:szCs w:val="24"/>
          <w:lang w:eastAsia="en-GB"/>
        </w:rPr>
        <w:t>Cavico</w:t>
      </w:r>
      <w:r>
        <w:rPr>
          <w:rFonts w:ascii="Times New Roman" w:cs="Times New Roman" w:eastAsia="Times New Roman" w:hAnsi="Times New Roman"/>
          <w:color w:val="0e101a"/>
          <w:sz w:val="24"/>
          <w:szCs w:val="24"/>
          <w:lang w:eastAsia="en-GB"/>
        </w:rPr>
        <w:t xml:space="preserve"> et al., 2016). In this case, the burden to prove this breach is on the plaintiff to make the court or the jury understand that the employer contravened his or her duty to prevent negligence.</w:t>
      </w:r>
    </w:p>
    <w:p>
      <w:pPr>
        <w:pStyle w:val="style179"/>
        <w:numPr>
          <w:ilvl w:val="0"/>
          <w:numId w:val="1"/>
        </w:numPr>
        <w:spacing w:after="0" w:lineRule="auto" w:line="480"/>
        <w:rPr>
          <w:rFonts w:ascii="Times New Roman" w:cs="Times New Roman" w:eastAsia="Times New Roman" w:hAnsi="Times New Roman"/>
          <w:b/>
          <w:color w:val="0e101a"/>
          <w:sz w:val="24"/>
          <w:szCs w:val="24"/>
          <w:lang w:eastAsia="en-GB"/>
        </w:rPr>
      </w:pPr>
      <w:r>
        <w:rPr>
          <w:rFonts w:ascii="Times New Roman" w:cs="Times New Roman" w:eastAsia="Times New Roman" w:hAnsi="Times New Roman"/>
          <w:b/>
          <w:color w:val="0e101a"/>
          <w:sz w:val="24"/>
          <w:szCs w:val="24"/>
          <w:lang w:eastAsia="en-GB"/>
        </w:rPr>
        <w:t>Causation</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 xml:space="preserve">Causation is an important element of negligence litigation. According to </w:t>
      </w:r>
      <w:r>
        <w:rPr>
          <w:rFonts w:ascii="Times New Roman" w:cs="Times New Roman" w:eastAsia="Times New Roman" w:hAnsi="Times New Roman"/>
          <w:color w:val="0e101a"/>
          <w:sz w:val="24"/>
          <w:szCs w:val="24"/>
          <w:lang w:eastAsia="en-GB"/>
        </w:rPr>
        <w:t>Cavico</w:t>
      </w:r>
      <w:r>
        <w:rPr>
          <w:rFonts w:ascii="Times New Roman" w:cs="Times New Roman" w:eastAsia="Times New Roman" w:hAnsi="Times New Roman"/>
          <w:color w:val="0e101a"/>
          <w:sz w:val="24"/>
          <w:szCs w:val="24"/>
          <w:lang w:eastAsia="en-GB"/>
        </w:rPr>
        <w:t xml:space="preserve"> et al. (2016), factual and legal causations can be difficult to prove in court due to the existence of multiple causes of harm or superseding causes. This element is based on the foreseeability doctrine. In this case, it is assumed that the employer could have foreseen the harm or damage and as such, he or she failed to act in a manner that would have prevented the incident. Even though it is difficult to prove that the employer foresaw the incident that was caused by the third party, but the causation can become a liability based on the fact that the employer should have been reasonable enough to determine and foresee the risk of harm to others (</w:t>
      </w:r>
      <w:r>
        <w:rPr>
          <w:rFonts w:ascii="Times New Roman" w:cs="Times New Roman" w:eastAsia="Times New Roman" w:hAnsi="Times New Roman"/>
          <w:color w:val="0e101a"/>
          <w:sz w:val="24"/>
          <w:szCs w:val="24"/>
          <w:lang w:eastAsia="en-GB"/>
        </w:rPr>
        <w:t>Cavico</w:t>
      </w:r>
      <w:r>
        <w:rPr>
          <w:rFonts w:ascii="Times New Roman" w:cs="Times New Roman" w:eastAsia="Times New Roman" w:hAnsi="Times New Roman"/>
          <w:color w:val="0e101a"/>
          <w:sz w:val="24"/>
          <w:szCs w:val="24"/>
          <w:lang w:eastAsia="en-GB"/>
        </w:rPr>
        <w:t xml:space="preserve"> et al., 2016).</w:t>
      </w:r>
    </w:p>
    <w:p>
      <w:pPr>
        <w:pStyle w:val="style179"/>
        <w:numPr>
          <w:ilvl w:val="0"/>
          <w:numId w:val="1"/>
        </w:numPr>
        <w:spacing w:after="0" w:lineRule="auto" w:line="480"/>
        <w:rPr>
          <w:rFonts w:ascii="Times New Roman" w:cs="Times New Roman" w:eastAsia="Times New Roman" w:hAnsi="Times New Roman"/>
          <w:b/>
          <w:color w:val="0e101a"/>
          <w:sz w:val="24"/>
          <w:szCs w:val="24"/>
          <w:lang w:eastAsia="en-GB"/>
        </w:rPr>
      </w:pPr>
      <w:r>
        <w:rPr>
          <w:rFonts w:ascii="Times New Roman" w:cs="Times New Roman" w:eastAsia="Times New Roman" w:hAnsi="Times New Roman"/>
          <w:b/>
          <w:color w:val="0e101a"/>
          <w:sz w:val="24"/>
          <w:szCs w:val="24"/>
          <w:lang w:eastAsia="en-GB"/>
        </w:rPr>
        <w:t>Damage</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This is the last element of negligent hiring and retention in an organization. It is assumed that in every cause of action for negligence, the result is often damaging. This damage can include the loss of life or physical harm to a person. Sometimes, this damage may extend to harm of properties which can include personal or economic harm (</w:t>
      </w:r>
      <w:r>
        <w:rPr>
          <w:rFonts w:ascii="Times New Roman" w:cs="Times New Roman" w:eastAsia="Times New Roman" w:hAnsi="Times New Roman"/>
          <w:color w:val="0e101a"/>
          <w:sz w:val="24"/>
          <w:szCs w:val="24"/>
          <w:lang w:eastAsia="en-GB"/>
        </w:rPr>
        <w:t>Cavico</w:t>
      </w:r>
      <w:r>
        <w:rPr>
          <w:rFonts w:ascii="Times New Roman" w:cs="Times New Roman" w:eastAsia="Times New Roman" w:hAnsi="Times New Roman"/>
          <w:color w:val="0e101a"/>
          <w:sz w:val="24"/>
          <w:szCs w:val="24"/>
          <w:lang w:eastAsia="en-GB"/>
        </w:rPr>
        <w:t xml:space="preserve"> et al., 2016). In the case of a health care setting, damage can result in the loss of a patient’s life due to the negligence of an incompetent practitioner. Since negligence is considered a tort, it can include emotional distress </w:t>
      </w:r>
      <w:r>
        <w:rPr>
          <w:rFonts w:ascii="Times New Roman" w:cs="Times New Roman" w:eastAsia="Times New Roman" w:hAnsi="Times New Roman"/>
          <w:color w:val="0e101a"/>
          <w:sz w:val="24"/>
          <w:szCs w:val="24"/>
          <w:lang w:eastAsia="en-GB"/>
        </w:rPr>
        <w:t>and suffering. In the health care setup, this may involve the loss of a job, which is categorized under the economic damages to an employee who has been assaulted and has to leave work due to the inability to deal with the pressure and shame at the workplace.</w:t>
      </w:r>
    </w:p>
    <w:p>
      <w:pPr>
        <w:pStyle w:val="style0"/>
        <w:spacing w:after="0" w:lineRule="auto" w:line="480"/>
        <w:jc w:val="center"/>
        <w:rPr>
          <w:rFonts w:ascii="Times New Roman" w:cs="Times New Roman" w:eastAsia="Times New Roman" w:hAnsi="Times New Roman"/>
          <w:b/>
          <w:color w:val="0e101a"/>
          <w:sz w:val="24"/>
          <w:szCs w:val="24"/>
          <w:lang w:eastAsia="en-GB"/>
        </w:rPr>
      </w:pPr>
      <w:r>
        <w:rPr>
          <w:rFonts w:ascii="Times New Roman" w:cs="Times New Roman" w:eastAsia="Times New Roman" w:hAnsi="Times New Roman"/>
          <w:b/>
          <w:color w:val="0e101a"/>
          <w:sz w:val="24"/>
          <w:szCs w:val="24"/>
          <w:lang w:eastAsia="en-GB"/>
        </w:rPr>
        <w:t>Preventing Problems with Negligent Hiring and Retention</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 xml:space="preserve">As </w:t>
      </w:r>
      <w:r>
        <w:rPr>
          <w:rFonts w:ascii="Times New Roman" w:cs="Times New Roman" w:eastAsia="Times New Roman" w:hAnsi="Times New Roman"/>
          <w:color w:val="0e101a"/>
          <w:sz w:val="24"/>
          <w:szCs w:val="24"/>
          <w:lang w:eastAsia="en-GB"/>
        </w:rPr>
        <w:t>Aresenault</w:t>
      </w:r>
      <w:r>
        <w:rPr>
          <w:rFonts w:ascii="Times New Roman" w:cs="Times New Roman" w:eastAsia="Times New Roman" w:hAnsi="Times New Roman"/>
          <w:color w:val="0e101a"/>
          <w:sz w:val="24"/>
          <w:szCs w:val="24"/>
          <w:lang w:eastAsia="en-GB"/>
        </w:rPr>
        <w:t xml:space="preserve"> et al. (2002) explain, due to the increasing ligations against employers and their organizations, employers must be aware of the employment laws and policies that increase their exposure to liability risks. According to the authors, initially, employers’ litigation regarding employee’s conduct was limited to actions of the current employees and only if the employee was acting in the scope of the employment contract (</w:t>
      </w:r>
      <w:r>
        <w:rPr>
          <w:rFonts w:ascii="Times New Roman" w:cs="Times New Roman" w:eastAsia="Times New Roman" w:hAnsi="Times New Roman"/>
          <w:color w:val="0e101a"/>
          <w:sz w:val="24"/>
          <w:szCs w:val="24"/>
          <w:lang w:eastAsia="en-GB"/>
        </w:rPr>
        <w:t>Aresenault</w:t>
      </w:r>
      <w:r>
        <w:rPr>
          <w:rFonts w:ascii="Times New Roman" w:cs="Times New Roman" w:eastAsia="Times New Roman" w:hAnsi="Times New Roman"/>
          <w:color w:val="0e101a"/>
          <w:sz w:val="24"/>
          <w:szCs w:val="24"/>
          <w:lang w:eastAsia="en-GB"/>
        </w:rPr>
        <w:t xml:space="preserve"> et al., 2002). However, this has since changed with the changes in the law and policies. In the United States, negligence laws are created by the states and as such, employers must be aware of the formulation and application of the laws in their respective jurisdictions. The best practices to avoid claims of hiring and retention negligence involve the integration of serious administrative policies and procedures. This includes adherence to the organization’s hiring and supervision, and retention policies and practices in line with the legal counsel. Most of the legal processes require interpretation appropriately to ensure that the organization does not indulge in further misconduct while trying to prevent another. As such, legal counsel becomes effective in getting the right interpretations of the law.</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 xml:space="preserve">Secondly, the management can establish adequate insurance policies that define negligent hiring and retention that will help the business recover from the liability that arises from negligence laws. Some of the negligence cases may cause the business to incur huge financial losses. The best way to prevent problems arising from such cases is to create an insurance plan </w:t>
      </w:r>
      <w:r>
        <w:rPr>
          <w:rFonts w:ascii="Times New Roman" w:cs="Times New Roman" w:eastAsia="Times New Roman" w:hAnsi="Times New Roman"/>
          <w:color w:val="0e101a"/>
          <w:sz w:val="24"/>
          <w:szCs w:val="24"/>
          <w:lang w:eastAsia="en-GB"/>
        </w:rPr>
        <w:t>that will help the business recover from the damages caused by negligence hiring and retention problems.</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Lastly, consistent compliance with the employment policies and procedures is the best way to prevent the problems associated with negligent hiring and retention in the company. This can begin with a regular screening of employees through background checks before hiring to ensure that the organization does not hire or even retain employees with misconducts that can expose the business to litigation risks. Conducting reasonable and careful background checks can help prevent negligent hiring problems. For example, in the health care setup, the employer can have applicants fill out a detailed job application to provide information about them instead of just asking them about their resumes. Also, confirming the information that they have provided can further reduce the risk of negligent hiring because it gives the employer an opportunity to verify the information including certification to practice.</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 xml:space="preserve">In conclusion, employers have a significant role to play in ensuring that their employees’ conduct or </w:t>
      </w:r>
      <w:r>
        <w:rPr>
          <w:rFonts w:ascii="Times New Roman" w:cs="Times New Roman" w:eastAsia="Times New Roman" w:hAnsi="Times New Roman"/>
          <w:color w:val="0e101a"/>
          <w:sz w:val="24"/>
          <w:szCs w:val="24"/>
          <w:lang w:eastAsia="en-GB"/>
        </w:rPr>
        <w:t>behavior</w:t>
      </w:r>
      <w:r>
        <w:rPr>
          <w:rFonts w:ascii="Times New Roman" w:cs="Times New Roman" w:eastAsia="Times New Roman" w:hAnsi="Times New Roman"/>
          <w:color w:val="0e101a"/>
          <w:sz w:val="24"/>
          <w:szCs w:val="24"/>
          <w:lang w:eastAsia="en-GB"/>
        </w:rPr>
        <w:t xml:space="preserve"> does not haunt them or their businesses. Failure to consider proper hiring procedures can result in the damage that may cause the organization to lose a great part of its revenue. In the health care sector, employers must be careful to ensure that they do not hire or even retain employees who are not qualified to practice to avoid negligent hiring and retention litigations. However, this requires them to be aware of the formulation and applications of tort laws, which differ in every state. This essay has highlighted key elements of negligent hiring and retention as well as recommendations on administrative policies and procedures that can help health care organizations to prevent problems associated with such litigations.</w:t>
      </w: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94"/>
        <w:shd w:val="clear" w:color="auto" w:fill="ffffff"/>
        <w:spacing w:before="0" w:beforeAutospacing="false" w:after="0" w:afterAutospacing="false" w:lineRule="auto" w:line="480"/>
        <w:ind w:left="720" w:hanging="720"/>
        <w:rPr>
          <w:color w:val="222222"/>
          <w:shd w:val="clear" w:color="auto" w:fill="ffffff"/>
        </w:rPr>
      </w:pPr>
      <w:r>
        <w:rPr>
          <w:color w:val="222222"/>
          <w:shd w:val="clear" w:color="auto" w:fill="ffffff"/>
        </w:rPr>
        <w:t>Aresenault</w:t>
      </w:r>
      <w:r>
        <w:rPr>
          <w:color w:val="222222"/>
          <w:shd w:val="clear" w:color="auto" w:fill="ffffff"/>
        </w:rPr>
        <w:t xml:space="preserve">, S., Jessup, D., Hass, M., &amp; </w:t>
      </w:r>
      <w:r>
        <w:rPr>
          <w:color w:val="222222"/>
          <w:shd w:val="clear" w:color="auto" w:fill="ffffff"/>
        </w:rPr>
        <w:t>Philbrick</w:t>
      </w:r>
      <w:r>
        <w:rPr>
          <w:color w:val="222222"/>
          <w:shd w:val="clear" w:color="auto" w:fill="ffffff"/>
        </w:rPr>
        <w:t>, J. (2002).</w:t>
      </w:r>
      <w:r>
        <w:rPr>
          <w:color w:val="222222"/>
          <w:shd w:val="clear" w:color="auto" w:fill="ffffff"/>
        </w:rPr>
        <w:t xml:space="preserve"> The legal implications of workplace violence: negligent references, negligent hiring, and negligent supervision and retention. </w:t>
      </w:r>
      <w:r>
        <w:rPr>
          <w:i/>
          <w:iCs/>
          <w:color w:val="222222"/>
          <w:shd w:val="clear" w:color="auto" w:fill="ffffff"/>
        </w:rPr>
        <w:t>Journal of legal Studies in Business</w:t>
      </w:r>
      <w:r>
        <w:rPr>
          <w:color w:val="222222"/>
          <w:shd w:val="clear" w:color="auto" w:fill="ffffff"/>
        </w:rPr>
        <w:t>, </w:t>
      </w:r>
      <w:r>
        <w:rPr>
          <w:i/>
          <w:iCs/>
          <w:color w:val="222222"/>
          <w:shd w:val="clear" w:color="auto" w:fill="ffffff"/>
        </w:rPr>
        <w:t>9</w:t>
      </w:r>
      <w:r>
        <w:rPr>
          <w:color w:val="222222"/>
          <w:shd w:val="clear" w:color="auto" w:fill="ffffff"/>
        </w:rPr>
        <w:t>, 31-63.</w:t>
      </w:r>
    </w:p>
    <w:p>
      <w:pPr>
        <w:pStyle w:val="style94"/>
        <w:shd w:val="clear" w:color="auto" w:fill="ffffff"/>
        <w:spacing w:before="0" w:beforeAutospacing="false" w:after="0" w:afterAutospacing="false" w:lineRule="auto" w:line="480"/>
        <w:ind w:left="720" w:hanging="720"/>
        <w:rPr>
          <w:color w:val="222222"/>
          <w:shd w:val="clear" w:color="auto" w:fill="ffffff"/>
        </w:rPr>
      </w:pPr>
      <w:r>
        <w:rPr>
          <w:color w:val="222222"/>
          <w:shd w:val="clear" w:color="auto" w:fill="ffffff"/>
        </w:rPr>
        <w:t>Cavico</w:t>
      </w:r>
      <w:r>
        <w:rPr>
          <w:color w:val="222222"/>
          <w:shd w:val="clear" w:color="auto" w:fill="ffffff"/>
        </w:rPr>
        <w:t xml:space="preserve">, F. J., </w:t>
      </w:r>
      <w:r>
        <w:rPr>
          <w:color w:val="222222"/>
          <w:shd w:val="clear" w:color="auto" w:fill="ffffff"/>
        </w:rPr>
        <w:t>Mujtaba</w:t>
      </w:r>
      <w:r>
        <w:rPr>
          <w:color w:val="222222"/>
          <w:shd w:val="clear" w:color="auto" w:fill="ffffff"/>
        </w:rPr>
        <w:t>, B. G., Samuel, M., &amp; Muffler, S. (2016).</w:t>
      </w:r>
      <w:r>
        <w:rPr>
          <w:color w:val="222222"/>
          <w:shd w:val="clear" w:color="auto" w:fill="ffffff"/>
        </w:rPr>
        <w:t xml:space="preserve"> </w:t>
      </w:r>
      <w:r>
        <w:rPr>
          <w:color w:val="222222"/>
          <w:shd w:val="clear" w:color="auto" w:fill="ffffff"/>
        </w:rPr>
        <w:t>The Tort of Negligence in Employment Hiring, Supervision and Retention.</w:t>
      </w:r>
      <w:r>
        <w:rPr>
          <w:color w:val="222222"/>
          <w:shd w:val="clear" w:color="auto" w:fill="ffffff"/>
        </w:rPr>
        <w:t> </w:t>
      </w:r>
      <w:r>
        <w:rPr>
          <w:i/>
          <w:iCs/>
          <w:color w:val="222222"/>
          <w:shd w:val="clear" w:color="auto" w:fill="ffffff"/>
        </w:rPr>
        <w:t>American Journal of Business and Society</w:t>
      </w:r>
      <w:r>
        <w:rPr>
          <w:color w:val="222222"/>
          <w:shd w:val="clear" w:color="auto" w:fill="ffffff"/>
        </w:rPr>
        <w:t>, </w:t>
      </w:r>
      <w:r>
        <w:rPr>
          <w:i/>
          <w:iCs/>
          <w:color w:val="222222"/>
          <w:shd w:val="clear" w:color="auto" w:fill="ffffff"/>
        </w:rPr>
        <w:t>1</w:t>
      </w:r>
      <w:r>
        <w:rPr>
          <w:color w:val="222222"/>
          <w:shd w:val="clear" w:color="auto" w:fill="ffffff"/>
        </w:rPr>
        <w:t>(4), 205.</w:t>
      </w:r>
    </w:p>
    <w:p>
      <w:pPr>
        <w:pStyle w:val="style94"/>
        <w:shd w:val="clear" w:color="auto" w:fill="ffffff"/>
        <w:spacing w:before="0" w:beforeAutospacing="false" w:after="0" w:afterAutospacing="false" w:lineRule="auto" w:line="480"/>
        <w:ind w:left="720" w:hanging="720"/>
        <w:rPr>
          <w:color w:val="222222"/>
          <w:shd w:val="clear" w:color="auto" w:fill="ffffff"/>
        </w:rPr>
      </w:pPr>
      <w:r>
        <w:rPr>
          <w:color w:val="222222"/>
          <w:shd w:val="clear" w:color="auto" w:fill="ffffff"/>
        </w:rPr>
        <w:t xml:space="preserve">Gaul, M. (2011 February, 16). “Negligent Hiring or Negligent Retention: Is there really a difference?” </w:t>
      </w:r>
      <w:r>
        <w:rPr>
          <w:i/>
          <w:color w:val="222222"/>
          <w:shd w:val="clear" w:color="auto" w:fill="ffffff"/>
        </w:rPr>
        <w:t>Proforma</w:t>
      </w:r>
      <w:r>
        <w:rPr>
          <w:i/>
          <w:color w:val="222222"/>
          <w:shd w:val="clear" w:color="auto" w:fill="ffffff"/>
        </w:rPr>
        <w:t xml:space="preserve"> Screening Solutions (Online).</w:t>
      </w:r>
      <w:r>
        <w:rPr>
          <w:color w:val="222222"/>
          <w:shd w:val="clear" w:color="auto" w:fill="ffffff"/>
        </w:rPr>
        <w:t xml:space="preserve"> </w:t>
      </w:r>
      <w:r>
        <w:t>https://www.proformascreening.com/blog/2011/02/16/negligent-hiring-negligent-retention/</w:t>
      </w:r>
    </w:p>
    <w:p>
      <w:pPr>
        <w:pStyle w:val="style0"/>
        <w:spacing w:after="0"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after="0" w:lineRule="auto" w:line="48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NEGLIGENT EMPLOYEES HIRING AND RETENTION</w:t>
    </w:r>
    <w:r>
      <w:rPr>
        <w:rFonts w:ascii="Times New Roman" w:cs="Times New Roman" w:eastAsia="Times New Roman" w:hAnsi="Times New Roman"/>
        <w:color w:val="0e101a"/>
        <w:sz w:val="24"/>
        <w:szCs w:val="24"/>
        <w:lang w:eastAsia="en-GB"/>
      </w:rPr>
      <w:tab/>
    </w:r>
    <w:r>
      <w:rPr>
        <w:rFonts w:ascii="Times New Roman" w:cs="Times New Roman" w:eastAsia="Times New Roman" w:hAnsi="Times New Roman"/>
        <w:color w:val="0e101a"/>
        <w:sz w:val="24"/>
        <w:szCs w:val="24"/>
        <w:lang w:eastAsia="en-GB"/>
      </w:rPr>
      <w:tab/>
    </w:r>
    <w:r>
      <w:rPr>
        <w:rFonts w:ascii="Times New Roman" w:cs="Times New Roman" w:eastAsia="Times New Roman" w:hAnsi="Times New Roman"/>
        <w:color w:val="0e101a"/>
        <w:sz w:val="24"/>
        <w:szCs w:val="24"/>
        <w:lang w:eastAsia="en-GB"/>
      </w:rPr>
      <w:tab/>
    </w:r>
    <w:r>
      <w:rPr>
        <w:rFonts w:ascii="Times New Roman" w:cs="Times New Roman" w:eastAsia="Times New Roman" w:hAnsi="Times New Roman"/>
        <w:color w:val="0e101a"/>
        <w:sz w:val="24"/>
        <w:szCs w:val="24"/>
        <w:lang w:eastAsia="en-GB"/>
      </w:rPr>
      <w:tab/>
    </w:r>
    <w:r>
      <w:rPr>
        <w:rFonts w:ascii="Times New Roman" w:cs="Times New Roman" w:eastAsia="Times New Roman" w:hAnsi="Times New Roman"/>
        <w:color w:val="0e101a"/>
        <w:sz w:val="24"/>
        <w:szCs w:val="24"/>
        <w:lang w:eastAsia="en-GB"/>
      </w:rPr>
      <w:tab/>
    </w:r>
    <w:r>
      <w:rPr>
        <w:rFonts w:ascii="Times New Roman" w:cs="Times New Roman" w:eastAsia="Times New Roman" w:hAnsi="Times New Roman"/>
        <w:color w:val="0e101a"/>
        <w:sz w:val="24"/>
        <w:szCs w:val="24"/>
        <w:lang w:eastAsia="en-GB"/>
      </w:rPr>
      <w:fldChar w:fldCharType="begin"/>
    </w:r>
    <w:r>
      <w:rPr>
        <w:rFonts w:ascii="Times New Roman" w:cs="Times New Roman" w:eastAsia="Times New Roman" w:hAnsi="Times New Roman"/>
        <w:color w:val="0e101a"/>
        <w:sz w:val="24"/>
        <w:szCs w:val="24"/>
        <w:lang w:eastAsia="en-GB"/>
      </w:rPr>
      <w:instrText xml:space="preserve"> PAGE   \* MERGEFORMAT </w:instrText>
    </w:r>
    <w:r>
      <w:rPr>
        <w:rFonts w:ascii="Times New Roman" w:cs="Times New Roman" w:eastAsia="Times New Roman" w:hAnsi="Times New Roman"/>
        <w:color w:val="0e101a"/>
        <w:sz w:val="24"/>
        <w:szCs w:val="24"/>
        <w:lang w:eastAsia="en-GB"/>
      </w:rPr>
      <w:fldChar w:fldCharType="separate"/>
    </w:r>
    <w:r>
      <w:rPr>
        <w:rFonts w:ascii="Times New Roman" w:cs="Times New Roman" w:eastAsia="Times New Roman" w:hAnsi="Times New Roman"/>
        <w:noProof/>
        <w:color w:val="0e101a"/>
        <w:sz w:val="24"/>
        <w:szCs w:val="24"/>
        <w:lang w:eastAsia="en-GB"/>
      </w:rPr>
      <w:t>2</w:t>
    </w:r>
    <w:r>
      <w:rPr>
        <w:rFonts w:ascii="Times New Roman" w:cs="Times New Roman" w:eastAsia="Times New Roman" w:hAnsi="Times New Roman"/>
        <w:noProof/>
        <w:color w:val="0e101a"/>
        <w:sz w:val="24"/>
        <w:szCs w:val="24"/>
        <w:lang w:eastAsia="en-GB"/>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325A2A4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6E2049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0000002"/>
    <w:multiLevelType w:val="multilevel"/>
    <w:tmpl w:val="6472D60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
    <w:nsid w:val="00000003"/>
    <w:multiLevelType w:val="multilevel"/>
    <w:tmpl w:val="19D8C88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4">
    <w:nsid w:val="00000004"/>
    <w:multiLevelType w:val="multilevel"/>
    <w:tmpl w:val="C342557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5">
    <w:nsid w:val="00000005"/>
    <w:multiLevelType w:val="hybridMultilevel"/>
    <w:tmpl w:val="C0F888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0000006"/>
    <w:multiLevelType w:val="hybridMultilevel"/>
    <w:tmpl w:val="BA62D3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0"/>
  </w:num>
  <w:num w:numId="5">
    <w:abstractNumId w:val="2"/>
  </w:num>
  <w:num w:numId="6">
    <w:abstractNumId w:val="3"/>
  </w:num>
  <w:num w:numId="7">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GB"/>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65e40f3-fa29-474b-972e-5e16f4ca4b6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51a626c-25de-4811-9548-1650db76bb4b"/>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1621</Words>
  <Pages>7</Pages>
  <Characters>8615</Characters>
  <Application>WPS Office</Application>
  <DocSecurity>0</DocSecurity>
  <Paragraphs>53</Paragraphs>
  <ScaleCrop>false</ScaleCrop>
  <LinksUpToDate>false</LinksUpToDate>
  <CharactersWithSpaces>10209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2020-05-24T09:15:10Z</dcterms:created>
  <dc:creator>Hp</dc:creator>
  <lastModifiedBy>STK-L21</lastModifiedBy>
  <dcterms:modified xsi:type="dcterms:W3CDTF">2020-05-24T09:15:10Z</dcterms:modified>
  <revision>6</revision>
</coreProperties>
</file>

<file path=docProps/custom.xml><?xml version="1.0" encoding="utf-8"?>
<Properties xmlns="http://schemas.openxmlformats.org/officeDocument/2006/custom-properties" xmlns:vt="http://schemas.openxmlformats.org/officeDocument/2006/docPropsVTypes"/>
</file>